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44797" w14:textId="2751FAA6" w:rsidR="00910723" w:rsidRDefault="70E73221" w:rsidP="072A6CD3">
      <w:pPr>
        <w:spacing w:before="240" w:after="240"/>
        <w:rPr>
          <w:rFonts w:ascii="Aptos" w:eastAsia="Aptos" w:hAnsi="Aptos" w:cs="Aptos"/>
          <w:color w:val="124F1A" w:themeColor="accent3" w:themeShade="BF"/>
        </w:rPr>
      </w:pPr>
      <w:r w:rsidRPr="072A6CD3">
        <w:rPr>
          <w:rFonts w:ascii="Aptos" w:eastAsia="Aptos" w:hAnsi="Aptos" w:cs="Aptos"/>
          <w:b/>
          <w:bCs/>
          <w:color w:val="124F1A" w:themeColor="accent3" w:themeShade="BF"/>
          <w:u w:val="single"/>
        </w:rPr>
        <w:t>FORMATIVE ASSESSMENT EXAMPLES &amp; BRIEF OVERVIEW</w:t>
      </w:r>
    </w:p>
    <w:p w14:paraId="7F67C81D" w14:textId="0A2887AC"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Exit Slips</w:t>
      </w:r>
      <w:r w:rsidR="00E66D46">
        <w:br/>
      </w:r>
      <w:r w:rsidRPr="072A6CD3">
        <w:rPr>
          <w:rFonts w:ascii="Aptos" w:eastAsia="Aptos" w:hAnsi="Aptos" w:cs="Aptos"/>
          <w:color w:val="000000" w:themeColor="text1"/>
        </w:rPr>
        <w:t xml:space="preserve"> At the end of a lesson, students complete a short response to a prompt or question. This technique helps teachers quickly assess whether students grasped the key concepts. It also provides a snapshot of individual and class-wide understanding to guide future instruction.</w:t>
      </w:r>
    </w:p>
    <w:p w14:paraId="4D7B746C" w14:textId="6FC18497"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Think-Pair-Share</w:t>
      </w:r>
      <w:r w:rsidR="00E66D46">
        <w:br/>
      </w:r>
      <w:r w:rsidRPr="072A6CD3">
        <w:rPr>
          <w:rFonts w:ascii="Aptos" w:eastAsia="Aptos" w:hAnsi="Aptos" w:cs="Aptos"/>
          <w:color w:val="000000" w:themeColor="text1"/>
        </w:rPr>
        <w:t xml:space="preserve"> Students are given a question to think about individually, then discuss it with a partner before sharing with the whole group. This allows all students to participate and articulate their thinking. Teachers can </w:t>
      </w:r>
      <w:r w:rsidR="00E66D46" w:rsidRPr="072A6CD3">
        <w:rPr>
          <w:rFonts w:ascii="Aptos" w:eastAsia="Aptos" w:hAnsi="Aptos" w:cs="Aptos"/>
          <w:color w:val="000000" w:themeColor="text1"/>
        </w:rPr>
        <w:t>listen</w:t>
      </w:r>
      <w:r w:rsidRPr="072A6CD3">
        <w:rPr>
          <w:rFonts w:ascii="Aptos" w:eastAsia="Aptos" w:hAnsi="Aptos" w:cs="Aptos"/>
          <w:color w:val="000000" w:themeColor="text1"/>
        </w:rPr>
        <w:t xml:space="preserve"> to assess comprehension and address misconceptions.</w:t>
      </w:r>
    </w:p>
    <w:p w14:paraId="0CADC8B4" w14:textId="038C15EB"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Low-Stakes Quizzes</w:t>
      </w:r>
      <w:r w:rsidR="00E66D46">
        <w:br/>
      </w:r>
      <w:r w:rsidRPr="072A6CD3">
        <w:rPr>
          <w:rFonts w:ascii="Aptos" w:eastAsia="Aptos" w:hAnsi="Aptos" w:cs="Aptos"/>
          <w:color w:val="000000" w:themeColor="text1"/>
        </w:rPr>
        <w:t xml:space="preserve"> These are short, informal quizzes that are not graded or carry minimal weight. They help teachers gauge understanding without the pressure of high-stakes testing. Students get immediate feedback and can identify areas needing review.</w:t>
      </w:r>
    </w:p>
    <w:p w14:paraId="17F2C14D" w14:textId="635945A9"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Observations</w:t>
      </w:r>
      <w:r w:rsidR="00E66D46">
        <w:br/>
      </w:r>
      <w:r w:rsidRPr="072A6CD3">
        <w:rPr>
          <w:rFonts w:ascii="Aptos" w:eastAsia="Aptos" w:hAnsi="Aptos" w:cs="Aptos"/>
          <w:color w:val="000000" w:themeColor="text1"/>
        </w:rPr>
        <w:t xml:space="preserve"> Teachers observe students during activities or group work to assess engagement, collaboration, and learning behaviors. This technique provides valuable insights that are often not visible in written assessments. Notes can be taken to track patterns or adjust teaching strategies.</w:t>
      </w:r>
    </w:p>
    <w:p w14:paraId="0289FB3E" w14:textId="2E67440D"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Self-Assessments</w:t>
      </w:r>
      <w:r w:rsidR="00E66D46">
        <w:br/>
      </w:r>
      <w:r w:rsidRPr="072A6CD3">
        <w:rPr>
          <w:rFonts w:ascii="Aptos" w:eastAsia="Aptos" w:hAnsi="Aptos" w:cs="Aptos"/>
          <w:color w:val="000000" w:themeColor="text1"/>
        </w:rPr>
        <w:t xml:space="preserve"> Students reflect on their own learning using rubrics, checklists, or rating scales. This promotes metacognitive thinking and helps students take responsibility for their progress. Teachers gain insight into student confidence and awareness of strengths or challenges.</w:t>
      </w:r>
    </w:p>
    <w:p w14:paraId="71BCDC3F" w14:textId="14F84209"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Peer Assessments</w:t>
      </w:r>
      <w:r w:rsidR="00E66D46">
        <w:br/>
      </w:r>
      <w:r w:rsidRPr="072A6CD3">
        <w:rPr>
          <w:rFonts w:ascii="Aptos" w:eastAsia="Aptos" w:hAnsi="Aptos" w:cs="Aptos"/>
          <w:color w:val="000000" w:themeColor="text1"/>
        </w:rPr>
        <w:t xml:space="preserve"> Students review and provide constructive feedback on each other’s work. This helps students learn to critique thoughtfully and receive input from peers. It also reinforces content knowledge as students must apply criteria to evaluate others.</w:t>
      </w:r>
    </w:p>
    <w:p w14:paraId="55B8AD76" w14:textId="2FBD6FE8"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Journals/Learning Logs</w:t>
      </w:r>
      <w:r w:rsidR="00E66D46">
        <w:br/>
      </w:r>
      <w:r w:rsidRPr="072A6CD3">
        <w:rPr>
          <w:rFonts w:ascii="Aptos" w:eastAsia="Aptos" w:hAnsi="Aptos" w:cs="Aptos"/>
          <w:color w:val="000000" w:themeColor="text1"/>
        </w:rPr>
        <w:t xml:space="preserve"> Students regularly write about what they’ve learned, questions they have, or how they feel about the content. These entries provide a window into student understanding and emotional engagement. Teachers can use them to personalize feedback and instruction.</w:t>
      </w:r>
    </w:p>
    <w:p w14:paraId="2EE7BEA1" w14:textId="0557BCED"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lastRenderedPageBreak/>
        <w:t>Graphic Organizers</w:t>
      </w:r>
      <w:r w:rsidR="00E66D46">
        <w:br/>
      </w:r>
      <w:r w:rsidRPr="072A6CD3">
        <w:rPr>
          <w:rFonts w:ascii="Aptos" w:eastAsia="Aptos" w:hAnsi="Aptos" w:cs="Aptos"/>
          <w:color w:val="000000" w:themeColor="text1"/>
        </w:rPr>
        <w:t xml:space="preserve"> Visual tools like Venn diagrams, flowcharts, and concept maps help students organize ideas and show relationships. They make thinking visible and support comprehension of complex topics. Teachers can assess how students connect concepts.</w:t>
      </w:r>
    </w:p>
    <w:p w14:paraId="771DB3EC" w14:textId="605AD01E"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Whiteboard Responses</w:t>
      </w:r>
      <w:r w:rsidR="00E66D46">
        <w:br/>
      </w:r>
      <w:r w:rsidRPr="072A6CD3">
        <w:rPr>
          <w:rFonts w:ascii="Aptos" w:eastAsia="Aptos" w:hAnsi="Aptos" w:cs="Aptos"/>
          <w:color w:val="000000" w:themeColor="text1"/>
        </w:rPr>
        <w:t xml:space="preserve"> Students write answers on mini whiteboards and hold them up for the teacher to see. This allows for immediate feedback and quick assessment of the entire class. It’s engaging and lowers the pressure of traditional questioning.</w:t>
      </w:r>
    </w:p>
    <w:p w14:paraId="68E95DBD" w14:textId="1B77E527"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One-Minute Papers</w:t>
      </w:r>
      <w:r w:rsidR="00E66D46">
        <w:br/>
      </w:r>
      <w:r w:rsidRPr="072A6CD3">
        <w:rPr>
          <w:rFonts w:ascii="Aptos" w:eastAsia="Aptos" w:hAnsi="Aptos" w:cs="Aptos"/>
          <w:color w:val="000000" w:themeColor="text1"/>
        </w:rPr>
        <w:t xml:space="preserve"> At the end of a lesson, students write briefly about what they learned or questions they still have. This helps consolidate learning and highlights unclear areas. Teachers can quickly review responses to plan follow-up instruction.</w:t>
      </w:r>
    </w:p>
    <w:p w14:paraId="2C2804E7" w14:textId="2C145B4E"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Think-</w:t>
      </w:r>
      <w:proofErr w:type="spellStart"/>
      <w:r w:rsidRPr="072A6CD3">
        <w:rPr>
          <w:rFonts w:ascii="Aptos" w:eastAsia="Aptos" w:hAnsi="Aptos" w:cs="Aptos"/>
          <w:b/>
          <w:bCs/>
          <w:color w:val="124F1A" w:themeColor="accent3" w:themeShade="BF"/>
        </w:rPr>
        <w:t>Alouds</w:t>
      </w:r>
      <w:proofErr w:type="spellEnd"/>
      <w:r w:rsidR="00E66D46">
        <w:br/>
      </w:r>
      <w:r w:rsidRPr="072A6CD3">
        <w:rPr>
          <w:rFonts w:ascii="Aptos" w:eastAsia="Aptos" w:hAnsi="Aptos" w:cs="Aptos"/>
          <w:color w:val="000000" w:themeColor="text1"/>
        </w:rPr>
        <w:t xml:space="preserve"> Students verbalize their thinking while solving problems or explaining concepts. This reveals how they approach tasks and where their reasoning may break down. It’s especially useful in reading, writing, and math.</w:t>
      </w:r>
    </w:p>
    <w:p w14:paraId="3F35DFC1" w14:textId="5F5A6152"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Checklists</w:t>
      </w:r>
      <w:r w:rsidR="00E66D46">
        <w:br/>
      </w:r>
      <w:r w:rsidRPr="072A6CD3">
        <w:rPr>
          <w:rFonts w:ascii="Aptos" w:eastAsia="Aptos" w:hAnsi="Aptos" w:cs="Aptos"/>
          <w:color w:val="000000" w:themeColor="text1"/>
        </w:rPr>
        <w:t xml:space="preserve"> </w:t>
      </w:r>
      <w:proofErr w:type="spellStart"/>
      <w:r w:rsidRPr="072A6CD3">
        <w:rPr>
          <w:rFonts w:ascii="Aptos" w:eastAsia="Aptos" w:hAnsi="Aptos" w:cs="Aptos"/>
          <w:color w:val="000000" w:themeColor="text1"/>
        </w:rPr>
        <w:t>Checklists</w:t>
      </w:r>
      <w:proofErr w:type="spellEnd"/>
      <w:r w:rsidRPr="072A6CD3">
        <w:rPr>
          <w:rFonts w:ascii="Aptos" w:eastAsia="Aptos" w:hAnsi="Aptos" w:cs="Aptos"/>
          <w:color w:val="000000" w:themeColor="text1"/>
        </w:rPr>
        <w:t xml:space="preserve"> list specific learning goals or skills students need to demonstrate. They help students track their progress and stay focused. Teachers use them to provide targeted feedback and monitor student development.</w:t>
      </w:r>
    </w:p>
    <w:p w14:paraId="6AA57F99" w14:textId="5840B033"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Learning Centers</w:t>
      </w:r>
      <w:r w:rsidR="00E66D46">
        <w:br/>
      </w:r>
      <w:r w:rsidRPr="072A6CD3">
        <w:rPr>
          <w:rFonts w:ascii="Aptos" w:eastAsia="Aptos" w:hAnsi="Aptos" w:cs="Aptos"/>
          <w:color w:val="000000" w:themeColor="text1"/>
        </w:rPr>
        <w:t xml:space="preserve"> Stations with different tasks allow students to explore topics at their own pace or in groups. Teachers can observe students' skills in action and collect performance data. Centers also support differentiated instruction.</w:t>
      </w:r>
    </w:p>
    <w:p w14:paraId="68AB625D" w14:textId="7EB66C45"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Conferences/Interviews</w:t>
      </w:r>
      <w:r w:rsidR="00E66D46">
        <w:br/>
      </w:r>
      <w:r w:rsidRPr="072A6CD3">
        <w:rPr>
          <w:rFonts w:ascii="Aptos" w:eastAsia="Aptos" w:hAnsi="Aptos" w:cs="Aptos"/>
          <w:color w:val="000000" w:themeColor="text1"/>
        </w:rPr>
        <w:t xml:space="preserve"> Short one-on-one conversations between student and teacher about academic progress or a specific assignment. They help uncover deeper thinking, clarify misunderstandings, and build student-teacher relationships. They allow for personalized feedback.</w:t>
      </w:r>
    </w:p>
    <w:p w14:paraId="646A2F6D" w14:textId="440BF750"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Portfolios</w:t>
      </w:r>
      <w:r w:rsidR="00E66D46">
        <w:br/>
      </w:r>
      <w:r w:rsidRPr="072A6CD3">
        <w:rPr>
          <w:rFonts w:ascii="Aptos" w:eastAsia="Aptos" w:hAnsi="Aptos" w:cs="Aptos"/>
          <w:color w:val="000000" w:themeColor="text1"/>
        </w:rPr>
        <w:t xml:space="preserve"> A curated collection of student work that demonstrates learning over time. Portfolios promote reflection and give students a sense of ownership over their growth. They provide a comprehensive view of progress beyond test scores.</w:t>
      </w:r>
    </w:p>
    <w:p w14:paraId="17368A5C" w14:textId="5A34DFF4"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lastRenderedPageBreak/>
        <w:t>Entrance Tickets</w:t>
      </w:r>
      <w:r w:rsidR="00E66D46">
        <w:br/>
      </w:r>
      <w:r w:rsidRPr="072A6CD3">
        <w:rPr>
          <w:rFonts w:ascii="Aptos" w:eastAsia="Aptos" w:hAnsi="Aptos" w:cs="Aptos"/>
          <w:color w:val="000000" w:themeColor="text1"/>
        </w:rPr>
        <w:t xml:space="preserve"> Quick prompts or tasks given at the beginning of class to review previous learning or activate prior knowledge. They help teachers assess readiness and tailor instruction accordingly. It’s a proactive way to start lessons with purpose.</w:t>
      </w:r>
    </w:p>
    <w:p w14:paraId="065350BC" w14:textId="411900D4"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Games/Simulations</w:t>
      </w:r>
      <w:r w:rsidR="00E66D46">
        <w:br/>
      </w:r>
      <w:r w:rsidRPr="072A6CD3">
        <w:rPr>
          <w:rFonts w:ascii="Aptos" w:eastAsia="Aptos" w:hAnsi="Aptos" w:cs="Aptos"/>
          <w:color w:val="000000" w:themeColor="text1"/>
        </w:rPr>
        <w:t xml:space="preserve"> Learning games or role-playing activities make assessment interactive and engaging. They can be used to review content, build skills, and assess understanding in a low-stress format. Teachers observe or record outcomes for formative insights.</w:t>
      </w:r>
    </w:p>
    <w:p w14:paraId="127EDC33" w14:textId="755A5AC3"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Annotated Student Work</w:t>
      </w:r>
      <w:r w:rsidR="00E66D46">
        <w:br/>
      </w:r>
      <w:r w:rsidRPr="072A6CD3">
        <w:rPr>
          <w:rFonts w:ascii="Aptos" w:eastAsia="Aptos" w:hAnsi="Aptos" w:cs="Aptos"/>
          <w:color w:val="000000" w:themeColor="text1"/>
        </w:rPr>
        <w:t xml:space="preserve"> Students explain their thinking by writing notes or highlighting parts of their work. This helps teachers see the rationale behind decisions and identify gaps. It also promotes deeper reflection for the student.</w:t>
      </w:r>
    </w:p>
    <w:p w14:paraId="2BB2357C" w14:textId="507196E0"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Concept Maps</w:t>
      </w:r>
      <w:r w:rsidR="00E66D46">
        <w:br/>
      </w:r>
      <w:r w:rsidRPr="072A6CD3">
        <w:rPr>
          <w:rFonts w:ascii="Aptos" w:eastAsia="Aptos" w:hAnsi="Aptos" w:cs="Aptos"/>
          <w:color w:val="000000" w:themeColor="text1"/>
        </w:rPr>
        <w:t xml:space="preserve"> Students create visual representations showing relationships between concepts. These maps demonstrate depth of understanding and how students structure information. Teachers can assess both knowledge and organization of ideas.</w:t>
      </w:r>
    </w:p>
    <w:p w14:paraId="55C15D61" w14:textId="4EA3F4A7" w:rsidR="00910723" w:rsidRDefault="70E73221" w:rsidP="072A6CD3">
      <w:pPr>
        <w:spacing w:before="240" w:after="240"/>
        <w:rPr>
          <w:rFonts w:ascii="Aptos" w:eastAsia="Aptos" w:hAnsi="Aptos" w:cs="Aptos"/>
          <w:color w:val="000000" w:themeColor="text1"/>
        </w:rPr>
      </w:pPr>
      <w:r w:rsidRPr="072A6CD3">
        <w:rPr>
          <w:rFonts w:ascii="Aptos" w:eastAsia="Aptos" w:hAnsi="Aptos" w:cs="Aptos"/>
          <w:b/>
          <w:bCs/>
          <w:color w:val="124F1A" w:themeColor="accent3" w:themeShade="BF"/>
        </w:rPr>
        <w:t>Digital Tools (e.g., Kahoot, Padlet, Google Forms)</w:t>
      </w:r>
      <w:r w:rsidR="00E66D46">
        <w:br/>
      </w:r>
      <w:r w:rsidRPr="072A6CD3">
        <w:rPr>
          <w:rFonts w:ascii="Aptos" w:eastAsia="Aptos" w:hAnsi="Aptos" w:cs="Aptos"/>
          <w:color w:val="000000" w:themeColor="text1"/>
        </w:rPr>
        <w:t xml:space="preserve"> Technology-based platforms that allow real-time quizzes, polls, and interactive boards. They provide immediate feedback to both students and teachers. These tools are efficient and highly engaging, especially for diverse classrooms.</w:t>
      </w:r>
    </w:p>
    <w:p w14:paraId="2898D4B1" w14:textId="2A008F9C" w:rsidR="00910723" w:rsidRDefault="70E73221" w:rsidP="072A6CD3">
      <w:pPr>
        <w:spacing w:before="240" w:after="240"/>
        <w:rPr>
          <w:rFonts w:ascii="Aptos" w:eastAsia="Aptos" w:hAnsi="Aptos" w:cs="Aptos"/>
          <w:color w:val="0070C0"/>
          <w:sz w:val="28"/>
          <w:szCs w:val="28"/>
        </w:rPr>
      </w:pPr>
      <w:r w:rsidRPr="072A6CD3">
        <w:rPr>
          <w:rFonts w:ascii="Aptos" w:eastAsia="Aptos" w:hAnsi="Aptos" w:cs="Aptos"/>
          <w:b/>
          <w:bCs/>
          <w:color w:val="0070C0"/>
          <w:sz w:val="28"/>
          <w:szCs w:val="28"/>
          <w:u w:val="single"/>
        </w:rPr>
        <w:t>INSTRUCTIONAL STRATEGIES</w:t>
      </w:r>
    </w:p>
    <w:p w14:paraId="0BD8E2ED" w14:textId="37C0165E" w:rsidR="00910723" w:rsidRDefault="00910723" w:rsidP="072A6CD3">
      <w:pPr>
        <w:spacing w:before="240" w:after="240"/>
        <w:rPr>
          <w:rFonts w:ascii="Aptos" w:eastAsia="Aptos" w:hAnsi="Aptos" w:cs="Aptos"/>
          <w:color w:val="000000" w:themeColor="text1"/>
        </w:rPr>
      </w:pPr>
    </w:p>
    <w:p w14:paraId="4EB78E80" w14:textId="447FA7F0" w:rsidR="00910723" w:rsidRDefault="70E73221" w:rsidP="072A6CD3">
      <w:pPr>
        <w:pStyle w:val="Heading3"/>
        <w:spacing w:before="281" w:after="281"/>
        <w:rPr>
          <w:rFonts w:ascii="Aptos" w:eastAsia="Aptos" w:hAnsi="Aptos" w:cs="Aptos"/>
        </w:rPr>
      </w:pPr>
      <w:r w:rsidRPr="072A6CD3">
        <w:rPr>
          <w:rFonts w:ascii="Aptos" w:eastAsia="Aptos" w:hAnsi="Aptos" w:cs="Aptos"/>
          <w:b/>
          <w:bCs/>
        </w:rPr>
        <w:t>1. Direct Instruction</w:t>
      </w:r>
    </w:p>
    <w:p w14:paraId="7486EFCF" w14:textId="7E268CAD" w:rsidR="00910723" w:rsidRDefault="70E73221" w:rsidP="072A6CD3">
      <w:pPr>
        <w:spacing w:before="240" w:after="240"/>
        <w:rPr>
          <w:rFonts w:ascii="Aptos" w:eastAsia="Aptos" w:hAnsi="Aptos" w:cs="Aptos"/>
          <w:color w:val="000000" w:themeColor="text1"/>
        </w:rPr>
      </w:pPr>
      <w:r w:rsidRPr="072A6CD3">
        <w:rPr>
          <w:rFonts w:ascii="Aptos" w:eastAsia="Aptos" w:hAnsi="Aptos" w:cs="Aptos"/>
          <w:color w:val="000000" w:themeColor="text1"/>
        </w:rPr>
        <w:t xml:space="preserve">Direct instruction includes teacher-led strategies that are structured, clear, and goal-oriented. These are useful for introducing new content, teaching procedures, or reinforcing skills. </w:t>
      </w:r>
    </w:p>
    <w:p w14:paraId="12539B8D" w14:textId="2AE66A4A"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Lecture</w:t>
      </w:r>
      <w:r w:rsidRPr="072A6CD3">
        <w:rPr>
          <w:rFonts w:ascii="Aptos" w:eastAsia="Aptos" w:hAnsi="Aptos" w:cs="Aptos"/>
          <w:color w:val="000000" w:themeColor="text1"/>
        </w:rPr>
        <w:t>: The teacher delivers content directly to students, useful for concise information transfer.</w:t>
      </w:r>
    </w:p>
    <w:p w14:paraId="18BDE0E7" w14:textId="08E2CA56"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Practice &amp; Drill</w:t>
      </w:r>
      <w:r w:rsidRPr="072A6CD3">
        <w:rPr>
          <w:rFonts w:ascii="Aptos" w:eastAsia="Aptos" w:hAnsi="Aptos" w:cs="Aptos"/>
          <w:color w:val="000000" w:themeColor="text1"/>
        </w:rPr>
        <w:t>: Repeated exercises (e.g., math facts, spelling) to build fluency.</w:t>
      </w:r>
    </w:p>
    <w:p w14:paraId="68B4A81A" w14:textId="0BD1A448"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Tutorials</w:t>
      </w:r>
      <w:r w:rsidRPr="072A6CD3">
        <w:rPr>
          <w:rFonts w:ascii="Aptos" w:eastAsia="Aptos" w:hAnsi="Aptos" w:cs="Aptos"/>
          <w:color w:val="000000" w:themeColor="text1"/>
        </w:rPr>
        <w:t>: Step-by-step guidance, often one-on-one or small group, for skill development.</w:t>
      </w:r>
    </w:p>
    <w:p w14:paraId="1F67840A" w14:textId="1CF2B7EA"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lastRenderedPageBreak/>
        <w:t>Workbooks/Handouts</w:t>
      </w:r>
      <w:r w:rsidRPr="072A6CD3">
        <w:rPr>
          <w:rFonts w:ascii="Aptos" w:eastAsia="Aptos" w:hAnsi="Aptos" w:cs="Aptos"/>
          <w:color w:val="000000" w:themeColor="text1"/>
        </w:rPr>
        <w:t>: Structured materials that provide practice and application opportunities.</w:t>
      </w:r>
    </w:p>
    <w:p w14:paraId="39BA681F" w14:textId="4E021DB9"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Simulations</w:t>
      </w:r>
      <w:r w:rsidRPr="072A6CD3">
        <w:rPr>
          <w:rFonts w:ascii="Aptos" w:eastAsia="Aptos" w:hAnsi="Aptos" w:cs="Aptos"/>
          <w:color w:val="000000" w:themeColor="text1"/>
        </w:rPr>
        <w:t>: Controlled models or role-plays (e.g., mock trials) to experience scenarios with clear objectives.</w:t>
      </w:r>
    </w:p>
    <w:p w14:paraId="4FBF8B75" w14:textId="5FC5FC9D"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Movies/Videos</w:t>
      </w:r>
      <w:r w:rsidRPr="072A6CD3">
        <w:rPr>
          <w:rFonts w:ascii="Aptos" w:eastAsia="Aptos" w:hAnsi="Aptos" w:cs="Aptos"/>
          <w:color w:val="000000" w:themeColor="text1"/>
        </w:rPr>
        <w:t>: Educational videos to visually support instruction or explain complex concepts.</w:t>
      </w:r>
    </w:p>
    <w:p w14:paraId="701CF64B" w14:textId="254BAA95"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Assigned Questions</w:t>
      </w:r>
      <w:r w:rsidRPr="072A6CD3">
        <w:rPr>
          <w:rFonts w:ascii="Aptos" w:eastAsia="Aptos" w:hAnsi="Aptos" w:cs="Aptos"/>
          <w:color w:val="000000" w:themeColor="text1"/>
        </w:rPr>
        <w:t>: Targeted practice tasks based on taught material.</w:t>
      </w:r>
    </w:p>
    <w:p w14:paraId="06CFDFFE" w14:textId="719E6408"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Panels/Invited Speakers</w:t>
      </w:r>
      <w:r w:rsidRPr="072A6CD3">
        <w:rPr>
          <w:rFonts w:ascii="Aptos" w:eastAsia="Aptos" w:hAnsi="Aptos" w:cs="Aptos"/>
          <w:color w:val="000000" w:themeColor="text1"/>
        </w:rPr>
        <w:t>: Experts or multiple viewpoints presented in a formal format to deepen understanding.</w:t>
      </w:r>
    </w:p>
    <w:p w14:paraId="77A7256E" w14:textId="24EB8B15" w:rsidR="00910723" w:rsidRDefault="70E73221" w:rsidP="072A6CD3">
      <w:pPr>
        <w:pStyle w:val="ListParagraph"/>
        <w:numPr>
          <w:ilvl w:val="0"/>
          <w:numId w:val="5"/>
        </w:numPr>
        <w:spacing w:before="240" w:after="240"/>
        <w:rPr>
          <w:rFonts w:ascii="Aptos" w:eastAsia="Aptos" w:hAnsi="Aptos" w:cs="Aptos"/>
          <w:color w:val="000000" w:themeColor="text1"/>
        </w:rPr>
      </w:pPr>
      <w:r w:rsidRPr="072A6CD3">
        <w:rPr>
          <w:rFonts w:ascii="Aptos" w:eastAsia="Aptos" w:hAnsi="Aptos" w:cs="Aptos"/>
          <w:b/>
          <w:bCs/>
          <w:color w:val="000000" w:themeColor="text1"/>
        </w:rPr>
        <w:t>Tape Recordings</w:t>
      </w:r>
      <w:r w:rsidRPr="072A6CD3">
        <w:rPr>
          <w:rFonts w:ascii="Aptos" w:eastAsia="Aptos" w:hAnsi="Aptos" w:cs="Aptos"/>
          <w:color w:val="000000" w:themeColor="text1"/>
        </w:rPr>
        <w:t>: Audio resources for reinforcement, especially in language or reading instruction.</w:t>
      </w:r>
    </w:p>
    <w:p w14:paraId="525D199A" w14:textId="5C2F9F30" w:rsidR="00910723" w:rsidRDefault="70E73221" w:rsidP="072A6CD3">
      <w:pPr>
        <w:pStyle w:val="Heading3"/>
        <w:spacing w:before="281" w:after="281"/>
        <w:rPr>
          <w:rFonts w:ascii="Aptos" w:eastAsia="Aptos" w:hAnsi="Aptos" w:cs="Aptos"/>
        </w:rPr>
      </w:pPr>
      <w:r w:rsidRPr="072A6CD3">
        <w:rPr>
          <w:rFonts w:ascii="Aptos" w:eastAsia="Aptos" w:hAnsi="Aptos" w:cs="Aptos"/>
          <w:b/>
          <w:bCs/>
        </w:rPr>
        <w:t>2. Indirect Instruction</w:t>
      </w:r>
    </w:p>
    <w:p w14:paraId="325BB9C9" w14:textId="55459C79" w:rsidR="00910723" w:rsidRDefault="70E73221" w:rsidP="072A6CD3">
      <w:pPr>
        <w:spacing w:before="240" w:after="240"/>
        <w:rPr>
          <w:rFonts w:ascii="Aptos" w:eastAsia="Aptos" w:hAnsi="Aptos" w:cs="Aptos"/>
          <w:color w:val="000000" w:themeColor="text1"/>
        </w:rPr>
      </w:pPr>
      <w:r w:rsidRPr="072A6CD3">
        <w:rPr>
          <w:rFonts w:ascii="Aptos" w:eastAsia="Aptos" w:hAnsi="Aptos" w:cs="Aptos"/>
          <w:color w:val="000000" w:themeColor="text1"/>
        </w:rPr>
        <w:t>Indirect instruction student-centered category encourages inquiry, reflection, and construction of knowledge through exploration. Students build knowledge through exploration and interaction with content rather than direct teacher explanation. This method supports deep conceptual understanding, decision-making, and application of knowledge in new contexts.</w:t>
      </w:r>
    </w:p>
    <w:p w14:paraId="677EE7EB" w14:textId="292683DF"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Discovery Learning</w:t>
      </w:r>
      <w:r w:rsidRPr="072A6CD3">
        <w:rPr>
          <w:rFonts w:ascii="Aptos" w:eastAsia="Aptos" w:hAnsi="Aptos" w:cs="Aptos"/>
          <w:color w:val="000000" w:themeColor="text1"/>
        </w:rPr>
        <w:t>: Students uncover content or concepts through hands-on activities or experimentation (e.g., exploring magnets before formal explanation).</w:t>
      </w:r>
    </w:p>
    <w:p w14:paraId="502CD819" w14:textId="41B798F5"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Case Studies</w:t>
      </w:r>
      <w:r w:rsidRPr="072A6CD3">
        <w:rPr>
          <w:rFonts w:ascii="Aptos" w:eastAsia="Aptos" w:hAnsi="Aptos" w:cs="Aptos"/>
          <w:color w:val="000000" w:themeColor="text1"/>
        </w:rPr>
        <w:t>: Real or simulated scenarios requiring analysis and problem-solving (e.g., examining historical decisions).</w:t>
      </w:r>
    </w:p>
    <w:p w14:paraId="31B2AC67" w14:textId="1D3B270D"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Problem Solving</w:t>
      </w:r>
      <w:r w:rsidRPr="072A6CD3">
        <w:rPr>
          <w:rFonts w:ascii="Aptos" w:eastAsia="Aptos" w:hAnsi="Aptos" w:cs="Aptos"/>
          <w:color w:val="000000" w:themeColor="text1"/>
        </w:rPr>
        <w:t>: Students analyze issues and devise solutions, ideal for math and science.</w:t>
      </w:r>
    </w:p>
    <w:p w14:paraId="448AF773" w14:textId="671C22BA"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Concept Mapping</w:t>
      </w:r>
      <w:r w:rsidRPr="072A6CD3">
        <w:rPr>
          <w:rFonts w:ascii="Aptos" w:eastAsia="Aptos" w:hAnsi="Aptos" w:cs="Aptos"/>
          <w:color w:val="000000" w:themeColor="text1"/>
        </w:rPr>
        <w:t>: Visual diagrams showing relationships between ideas, supporting comprehension and organization.</w:t>
      </w:r>
    </w:p>
    <w:p w14:paraId="0A4B119B" w14:textId="53E68CEF"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Guided Inquiry</w:t>
      </w:r>
      <w:r w:rsidRPr="072A6CD3">
        <w:rPr>
          <w:rFonts w:ascii="Aptos" w:eastAsia="Aptos" w:hAnsi="Aptos" w:cs="Aptos"/>
          <w:color w:val="000000" w:themeColor="text1"/>
        </w:rPr>
        <w:t>: Teacher provides a structured path for investigation (e.g., a science lab with prompts).</w:t>
      </w:r>
    </w:p>
    <w:p w14:paraId="02C2F771" w14:textId="647A2C50"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Unguided Inquiry</w:t>
      </w:r>
      <w:r w:rsidRPr="072A6CD3">
        <w:rPr>
          <w:rFonts w:ascii="Aptos" w:eastAsia="Aptos" w:hAnsi="Aptos" w:cs="Aptos"/>
          <w:color w:val="000000" w:themeColor="text1"/>
        </w:rPr>
        <w:t>: Open-ended student-led exploration.</w:t>
      </w:r>
    </w:p>
    <w:p w14:paraId="58406D18" w14:textId="12BB516E"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Focused Imaging</w:t>
      </w:r>
      <w:r w:rsidRPr="072A6CD3">
        <w:rPr>
          <w:rFonts w:ascii="Aptos" w:eastAsia="Aptos" w:hAnsi="Aptos" w:cs="Aptos"/>
          <w:color w:val="000000" w:themeColor="text1"/>
        </w:rPr>
        <w:t>: Visualization techniques to build mental models or stimulate creativity.</w:t>
      </w:r>
    </w:p>
    <w:p w14:paraId="68B3127E" w14:textId="12B4E289"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Decision Making</w:t>
      </w:r>
      <w:r w:rsidRPr="072A6CD3">
        <w:rPr>
          <w:rFonts w:ascii="Aptos" w:eastAsia="Aptos" w:hAnsi="Aptos" w:cs="Aptos"/>
          <w:color w:val="000000" w:themeColor="text1"/>
        </w:rPr>
        <w:t>: Evaluating options and justifying choices—useful in social studies, health, or life skills.</w:t>
      </w:r>
    </w:p>
    <w:p w14:paraId="4E5126E1" w14:textId="26A47D76" w:rsidR="00910723" w:rsidRDefault="70E73221" w:rsidP="072A6CD3">
      <w:pPr>
        <w:pStyle w:val="ListParagraph"/>
        <w:numPr>
          <w:ilvl w:val="0"/>
          <w:numId w:val="4"/>
        </w:numPr>
        <w:spacing w:before="240" w:after="240"/>
        <w:rPr>
          <w:rFonts w:ascii="Aptos" w:eastAsia="Aptos" w:hAnsi="Aptos" w:cs="Aptos"/>
          <w:color w:val="000000" w:themeColor="text1"/>
        </w:rPr>
      </w:pPr>
      <w:r w:rsidRPr="072A6CD3">
        <w:rPr>
          <w:rFonts w:ascii="Aptos" w:eastAsia="Aptos" w:hAnsi="Aptos" w:cs="Aptos"/>
          <w:b/>
          <w:bCs/>
          <w:color w:val="000000" w:themeColor="text1"/>
        </w:rPr>
        <w:t>Socratic Questioning</w:t>
      </w:r>
      <w:r w:rsidRPr="072A6CD3">
        <w:rPr>
          <w:rFonts w:ascii="Aptos" w:eastAsia="Aptos" w:hAnsi="Aptos" w:cs="Aptos"/>
          <w:color w:val="000000" w:themeColor="text1"/>
        </w:rPr>
        <w:t>: Thought-provoking questions that challenge assumptions and deepen understanding.</w:t>
      </w:r>
    </w:p>
    <w:p w14:paraId="016F62B2" w14:textId="26C7F034" w:rsidR="00910723" w:rsidRDefault="70E73221" w:rsidP="072A6CD3">
      <w:pPr>
        <w:pStyle w:val="Heading3"/>
        <w:spacing w:before="281" w:after="281"/>
        <w:rPr>
          <w:rFonts w:ascii="Aptos" w:eastAsia="Aptos" w:hAnsi="Aptos" w:cs="Aptos"/>
        </w:rPr>
      </w:pPr>
      <w:r w:rsidRPr="072A6CD3">
        <w:rPr>
          <w:rFonts w:ascii="Aptos" w:eastAsia="Aptos" w:hAnsi="Aptos" w:cs="Aptos"/>
          <w:b/>
          <w:bCs/>
        </w:rPr>
        <w:lastRenderedPageBreak/>
        <w:t>3. Interactive Instruction</w:t>
      </w:r>
    </w:p>
    <w:p w14:paraId="5946B0CC" w14:textId="63567172" w:rsidR="00910723" w:rsidRDefault="70E73221" w:rsidP="072A6CD3">
      <w:pPr>
        <w:spacing w:before="240" w:after="240"/>
        <w:rPr>
          <w:rFonts w:ascii="Aptos" w:eastAsia="Aptos" w:hAnsi="Aptos" w:cs="Aptos"/>
          <w:color w:val="000000" w:themeColor="text1"/>
        </w:rPr>
      </w:pPr>
      <w:r w:rsidRPr="072A6CD3">
        <w:rPr>
          <w:rFonts w:ascii="Aptos" w:eastAsia="Aptos" w:hAnsi="Aptos" w:cs="Aptos"/>
          <w:color w:val="000000" w:themeColor="text1"/>
        </w:rPr>
        <w:t>Interactive instruction relies on dialogue, peer learning, and social interaction to construct knowledge and build communication skills. It fosters active learning, communication, and critical thinking through social interaction. Teachers act as facilitators, creating opportunities for students to construct meaning together and share diverse perspectives.</w:t>
      </w:r>
    </w:p>
    <w:p w14:paraId="70570203" w14:textId="21870ACD"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Buzz Groups</w:t>
      </w:r>
      <w:r w:rsidRPr="072A6CD3">
        <w:rPr>
          <w:rFonts w:ascii="Aptos" w:eastAsia="Aptos" w:hAnsi="Aptos" w:cs="Aptos"/>
          <w:color w:val="000000" w:themeColor="text1"/>
        </w:rPr>
        <w:t>: Small groups quickly discuss a topic and report findings.</w:t>
      </w:r>
    </w:p>
    <w:p w14:paraId="6AC612F1" w14:textId="5E978036"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Brainstorming</w:t>
      </w:r>
      <w:r w:rsidRPr="072A6CD3">
        <w:rPr>
          <w:rFonts w:ascii="Aptos" w:eastAsia="Aptos" w:hAnsi="Aptos" w:cs="Aptos"/>
          <w:color w:val="000000" w:themeColor="text1"/>
        </w:rPr>
        <w:t>: Students generate ideas freely, encouraging creativity.</w:t>
      </w:r>
    </w:p>
    <w:p w14:paraId="5633F628" w14:textId="19EEFA44"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Forums/Panels</w:t>
      </w:r>
      <w:r w:rsidRPr="072A6CD3">
        <w:rPr>
          <w:rFonts w:ascii="Aptos" w:eastAsia="Aptos" w:hAnsi="Aptos" w:cs="Aptos"/>
          <w:color w:val="000000" w:themeColor="text1"/>
        </w:rPr>
        <w:t>: Group discussions or presentations exploring multiple perspectives.</w:t>
      </w:r>
    </w:p>
    <w:p w14:paraId="4C93C717" w14:textId="2331732E"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Debate</w:t>
      </w:r>
      <w:r w:rsidRPr="072A6CD3">
        <w:rPr>
          <w:rFonts w:ascii="Aptos" w:eastAsia="Aptos" w:hAnsi="Aptos" w:cs="Aptos"/>
          <w:color w:val="000000" w:themeColor="text1"/>
        </w:rPr>
        <w:t>: Structured argumentation around a topic to encourage evidence-based reasoning.</w:t>
      </w:r>
    </w:p>
    <w:p w14:paraId="038727BE" w14:textId="7A2ACEE4"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Cooperative Learning</w:t>
      </w:r>
      <w:r w:rsidRPr="072A6CD3">
        <w:rPr>
          <w:rFonts w:ascii="Aptos" w:eastAsia="Aptos" w:hAnsi="Aptos" w:cs="Aptos"/>
          <w:color w:val="000000" w:themeColor="text1"/>
        </w:rPr>
        <w:t>: Group tasks with defined roles and shared responsibility.</w:t>
      </w:r>
    </w:p>
    <w:p w14:paraId="29984440" w14:textId="1E0BF958"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Role Playing</w:t>
      </w:r>
      <w:r w:rsidRPr="072A6CD3">
        <w:rPr>
          <w:rFonts w:ascii="Aptos" w:eastAsia="Aptos" w:hAnsi="Aptos" w:cs="Aptos"/>
          <w:color w:val="000000" w:themeColor="text1"/>
        </w:rPr>
        <w:t>: Acting out scenarios to explore social, historical, or ethical perspectives.</w:t>
      </w:r>
    </w:p>
    <w:p w14:paraId="3A695C3D" w14:textId="346B8971"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Open Discussion</w:t>
      </w:r>
      <w:r w:rsidRPr="072A6CD3">
        <w:rPr>
          <w:rFonts w:ascii="Aptos" w:eastAsia="Aptos" w:hAnsi="Aptos" w:cs="Aptos"/>
          <w:color w:val="000000" w:themeColor="text1"/>
        </w:rPr>
        <w:t>: Free-form conversation encouraging all voices and active listening.</w:t>
      </w:r>
    </w:p>
    <w:p w14:paraId="10328C1C" w14:textId="099751FC"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Investigative/Laboratory Groups</w:t>
      </w:r>
      <w:r w:rsidRPr="072A6CD3">
        <w:rPr>
          <w:rFonts w:ascii="Aptos" w:eastAsia="Aptos" w:hAnsi="Aptos" w:cs="Aptos"/>
          <w:color w:val="000000" w:themeColor="text1"/>
        </w:rPr>
        <w:t>: Small teams engage in research or experiments.</w:t>
      </w:r>
    </w:p>
    <w:p w14:paraId="24AD8437" w14:textId="4738F996"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Tutorial Groups</w:t>
      </w:r>
      <w:r w:rsidRPr="072A6CD3">
        <w:rPr>
          <w:rFonts w:ascii="Aptos" w:eastAsia="Aptos" w:hAnsi="Aptos" w:cs="Aptos"/>
          <w:color w:val="000000" w:themeColor="text1"/>
        </w:rPr>
        <w:t>: Peer-supported instruction or review.</w:t>
      </w:r>
    </w:p>
    <w:p w14:paraId="703AFC2E" w14:textId="06D6B1CD" w:rsidR="00910723" w:rsidRDefault="70E73221" w:rsidP="072A6CD3">
      <w:pPr>
        <w:pStyle w:val="ListParagraph"/>
        <w:numPr>
          <w:ilvl w:val="0"/>
          <w:numId w:val="3"/>
        </w:numPr>
        <w:spacing w:before="240" w:after="240"/>
        <w:rPr>
          <w:rFonts w:ascii="Aptos" w:eastAsia="Aptos" w:hAnsi="Aptos" w:cs="Aptos"/>
          <w:color w:val="000000" w:themeColor="text1"/>
        </w:rPr>
      </w:pPr>
      <w:r w:rsidRPr="072A6CD3">
        <w:rPr>
          <w:rFonts w:ascii="Aptos" w:eastAsia="Aptos" w:hAnsi="Aptos" w:cs="Aptos"/>
          <w:b/>
          <w:bCs/>
          <w:color w:val="000000" w:themeColor="text1"/>
        </w:rPr>
        <w:t>1-3-6 Groups</w:t>
      </w:r>
      <w:r w:rsidRPr="072A6CD3">
        <w:rPr>
          <w:rFonts w:ascii="Aptos" w:eastAsia="Aptos" w:hAnsi="Aptos" w:cs="Aptos"/>
          <w:color w:val="000000" w:themeColor="text1"/>
        </w:rPr>
        <w:t xml:space="preserve">: Structured </w:t>
      </w:r>
      <w:proofErr w:type="gramStart"/>
      <w:r w:rsidRPr="072A6CD3">
        <w:rPr>
          <w:rFonts w:ascii="Aptos" w:eastAsia="Aptos" w:hAnsi="Aptos" w:cs="Aptos"/>
          <w:color w:val="000000" w:themeColor="text1"/>
        </w:rPr>
        <w:t>collaboration—</w:t>
      </w:r>
      <w:proofErr w:type="gramEnd"/>
      <w:r w:rsidRPr="072A6CD3">
        <w:rPr>
          <w:rFonts w:ascii="Aptos" w:eastAsia="Aptos" w:hAnsi="Aptos" w:cs="Aptos"/>
          <w:color w:val="000000" w:themeColor="text1"/>
        </w:rPr>
        <w:t>students work alone, then in pairs, then in larger groups to share ideas.</w:t>
      </w:r>
    </w:p>
    <w:p w14:paraId="0E2D19F0" w14:textId="0A4E158B" w:rsidR="00910723" w:rsidRDefault="70E73221" w:rsidP="072A6CD3">
      <w:pPr>
        <w:pStyle w:val="Heading3"/>
        <w:spacing w:before="281" w:after="281"/>
        <w:rPr>
          <w:rFonts w:ascii="Aptos" w:eastAsia="Aptos" w:hAnsi="Aptos" w:cs="Aptos"/>
        </w:rPr>
      </w:pPr>
      <w:r w:rsidRPr="072A6CD3">
        <w:rPr>
          <w:rFonts w:ascii="Aptos" w:eastAsia="Aptos" w:hAnsi="Aptos" w:cs="Aptos"/>
          <w:b/>
          <w:bCs/>
        </w:rPr>
        <w:t>4. Experiential Instruction</w:t>
      </w:r>
    </w:p>
    <w:p w14:paraId="1EC4770D" w14:textId="753E87A4" w:rsidR="00910723" w:rsidRDefault="70E73221" w:rsidP="072A6CD3">
      <w:pPr>
        <w:spacing w:before="240" w:after="240"/>
        <w:rPr>
          <w:rFonts w:ascii="Aptos" w:eastAsia="Aptos" w:hAnsi="Aptos" w:cs="Aptos"/>
          <w:color w:val="000000" w:themeColor="text1"/>
        </w:rPr>
      </w:pPr>
      <w:r w:rsidRPr="072A6CD3">
        <w:rPr>
          <w:rFonts w:ascii="Aptos" w:eastAsia="Aptos" w:hAnsi="Aptos" w:cs="Aptos"/>
          <w:color w:val="000000" w:themeColor="text1"/>
        </w:rPr>
        <w:t>Experiential instruction emphasizes learning by doing through direct, hands-on experiences. These methods immerse students in direct experiences that are meaningful and authentic, leading to deeper learning. It helps students connect classroom learning with life outside school. Learners are actively involved and often assume responsibility for their own progress.</w:t>
      </w:r>
    </w:p>
    <w:p w14:paraId="373A9FDB" w14:textId="3F64FE2D"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Field Trips</w:t>
      </w:r>
      <w:r w:rsidRPr="072A6CD3">
        <w:rPr>
          <w:rFonts w:ascii="Aptos" w:eastAsia="Aptos" w:hAnsi="Aptos" w:cs="Aptos"/>
          <w:color w:val="000000" w:themeColor="text1"/>
        </w:rPr>
        <w:t>: Visits to relevant locations (e.g., museums, farms) to see real-world applications.</w:t>
      </w:r>
    </w:p>
    <w:p w14:paraId="4E08F68B" w14:textId="0FEA1B6E"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Model Building</w:t>
      </w:r>
      <w:r w:rsidRPr="072A6CD3">
        <w:rPr>
          <w:rFonts w:ascii="Aptos" w:eastAsia="Aptos" w:hAnsi="Aptos" w:cs="Aptos"/>
          <w:color w:val="000000" w:themeColor="text1"/>
        </w:rPr>
        <w:t>: Creating physical or digital representations of concepts (e.g., DNA, solar system).</w:t>
      </w:r>
    </w:p>
    <w:p w14:paraId="23401756" w14:textId="64662667"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Role Playing/Skits</w:t>
      </w:r>
      <w:r w:rsidRPr="072A6CD3">
        <w:rPr>
          <w:rFonts w:ascii="Aptos" w:eastAsia="Aptos" w:hAnsi="Aptos" w:cs="Aptos"/>
          <w:color w:val="000000" w:themeColor="text1"/>
        </w:rPr>
        <w:t>: Acting out characters or scenarios to explore empathy, decision-making, or historical events.</w:t>
      </w:r>
    </w:p>
    <w:p w14:paraId="6A2BBE5C" w14:textId="3C3FBB18"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lastRenderedPageBreak/>
        <w:t>Dramatizations</w:t>
      </w:r>
      <w:r w:rsidRPr="072A6CD3">
        <w:rPr>
          <w:rFonts w:ascii="Aptos" w:eastAsia="Aptos" w:hAnsi="Aptos" w:cs="Aptos"/>
          <w:color w:val="000000" w:themeColor="text1"/>
        </w:rPr>
        <w:t>: Performances based on real or imagined events to understand complex content.</w:t>
      </w:r>
    </w:p>
    <w:p w14:paraId="629109D0" w14:textId="67940FE3"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Games</w:t>
      </w:r>
      <w:r w:rsidRPr="072A6CD3">
        <w:rPr>
          <w:rFonts w:ascii="Aptos" w:eastAsia="Aptos" w:hAnsi="Aptos" w:cs="Aptos"/>
          <w:color w:val="000000" w:themeColor="text1"/>
        </w:rPr>
        <w:t>: Educational games that reinforce skills through play and competition.</w:t>
      </w:r>
    </w:p>
    <w:p w14:paraId="7247A943" w14:textId="091E8F75"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Case Studies</w:t>
      </w:r>
      <w:r w:rsidRPr="072A6CD3">
        <w:rPr>
          <w:rFonts w:ascii="Aptos" w:eastAsia="Aptos" w:hAnsi="Aptos" w:cs="Aptos"/>
          <w:color w:val="000000" w:themeColor="text1"/>
        </w:rPr>
        <w:t>: Applying knowledge to detailed, often real-world scenarios.</w:t>
      </w:r>
    </w:p>
    <w:p w14:paraId="03B560B3" w14:textId="08CFF110"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Field Surveys</w:t>
      </w:r>
      <w:r w:rsidRPr="072A6CD3">
        <w:rPr>
          <w:rFonts w:ascii="Aptos" w:eastAsia="Aptos" w:hAnsi="Aptos" w:cs="Aptos"/>
          <w:color w:val="000000" w:themeColor="text1"/>
        </w:rPr>
        <w:t>: Collecting and analyzing data from the environment or community.</w:t>
      </w:r>
    </w:p>
    <w:p w14:paraId="50822259" w14:textId="425FFB9B"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Work Experience</w:t>
      </w:r>
      <w:r w:rsidRPr="072A6CD3">
        <w:rPr>
          <w:rFonts w:ascii="Aptos" w:eastAsia="Aptos" w:hAnsi="Aptos" w:cs="Aptos"/>
          <w:color w:val="000000" w:themeColor="text1"/>
        </w:rPr>
        <w:t>: Internships or classroom jobs to apply skills in practical contexts.</w:t>
      </w:r>
    </w:p>
    <w:p w14:paraId="581647D5" w14:textId="4319D93C" w:rsidR="00910723" w:rsidRDefault="70E73221" w:rsidP="072A6CD3">
      <w:pPr>
        <w:pStyle w:val="ListParagraph"/>
        <w:numPr>
          <w:ilvl w:val="0"/>
          <w:numId w:val="2"/>
        </w:numPr>
        <w:spacing w:before="240" w:after="240"/>
        <w:rPr>
          <w:rFonts w:ascii="Aptos" w:eastAsia="Aptos" w:hAnsi="Aptos" w:cs="Aptos"/>
          <w:color w:val="000000" w:themeColor="text1"/>
        </w:rPr>
      </w:pPr>
      <w:r w:rsidRPr="072A6CD3">
        <w:rPr>
          <w:rFonts w:ascii="Aptos" w:eastAsia="Aptos" w:hAnsi="Aptos" w:cs="Aptos"/>
          <w:b/>
          <w:bCs/>
          <w:color w:val="000000" w:themeColor="text1"/>
        </w:rPr>
        <w:t>Conducting Experience/Field Study</w:t>
      </w:r>
      <w:r w:rsidRPr="072A6CD3">
        <w:rPr>
          <w:rFonts w:ascii="Aptos" w:eastAsia="Aptos" w:hAnsi="Aptos" w:cs="Aptos"/>
          <w:color w:val="000000" w:themeColor="text1"/>
        </w:rPr>
        <w:t>: Hands-on investigations (e.g., environmental data collection).</w:t>
      </w:r>
    </w:p>
    <w:p w14:paraId="1E6B849A" w14:textId="12F0A43E" w:rsidR="00910723" w:rsidRDefault="70E73221" w:rsidP="072A6CD3">
      <w:pPr>
        <w:pStyle w:val="Heading3"/>
        <w:spacing w:before="281" w:after="281"/>
        <w:rPr>
          <w:rFonts w:ascii="Aptos" w:eastAsia="Aptos" w:hAnsi="Aptos" w:cs="Aptos"/>
        </w:rPr>
      </w:pPr>
      <w:r w:rsidRPr="072A6CD3">
        <w:rPr>
          <w:rFonts w:ascii="Aptos" w:eastAsia="Aptos" w:hAnsi="Aptos" w:cs="Aptos"/>
          <w:b/>
          <w:bCs/>
        </w:rPr>
        <w:t>5. Independent Study</w:t>
      </w:r>
    </w:p>
    <w:p w14:paraId="2D6B6DCC" w14:textId="3D46D1B3" w:rsidR="00910723" w:rsidRDefault="70E73221" w:rsidP="072A6CD3">
      <w:pPr>
        <w:spacing w:before="240" w:after="240"/>
        <w:rPr>
          <w:rFonts w:ascii="Aptos" w:eastAsia="Aptos" w:hAnsi="Aptos" w:cs="Aptos"/>
          <w:color w:val="000000" w:themeColor="text1"/>
        </w:rPr>
      </w:pPr>
      <w:r w:rsidRPr="072A6CD3">
        <w:rPr>
          <w:rFonts w:ascii="Aptos" w:eastAsia="Aptos" w:hAnsi="Aptos" w:cs="Aptos"/>
          <w:color w:val="000000" w:themeColor="text1"/>
        </w:rPr>
        <w:t>Independent study empowers students, emphasizes autonomy and personal responsibility for learning, often at a self-determined pace. Teachers provide guidance, resources, and feedback, but students lead their own learning. This strategy is effective for differentiated instruction, research projects, or gifted programs. It also fosters lifelong learning habits.</w:t>
      </w:r>
    </w:p>
    <w:p w14:paraId="1A953F6A" w14:textId="60F3BC70"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Essays</w:t>
      </w:r>
      <w:r w:rsidRPr="072A6CD3">
        <w:rPr>
          <w:rFonts w:ascii="Aptos" w:eastAsia="Aptos" w:hAnsi="Aptos" w:cs="Aptos"/>
          <w:color w:val="000000" w:themeColor="text1"/>
        </w:rPr>
        <w:t>: In-depth written responses that develop critical thinking and communication.</w:t>
      </w:r>
    </w:p>
    <w:p w14:paraId="4688F1ED" w14:textId="1A0B503F"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Reports</w:t>
      </w:r>
      <w:r w:rsidRPr="072A6CD3">
        <w:rPr>
          <w:rFonts w:ascii="Aptos" w:eastAsia="Aptos" w:hAnsi="Aptos" w:cs="Aptos"/>
          <w:color w:val="000000" w:themeColor="text1"/>
        </w:rPr>
        <w:t>: Detailed summaries of research or findings.</w:t>
      </w:r>
    </w:p>
    <w:p w14:paraId="6BDB675A" w14:textId="10B233CC"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Papers</w:t>
      </w:r>
      <w:r w:rsidRPr="072A6CD3">
        <w:rPr>
          <w:rFonts w:ascii="Aptos" w:eastAsia="Aptos" w:hAnsi="Aptos" w:cs="Aptos"/>
          <w:color w:val="000000" w:themeColor="text1"/>
        </w:rPr>
        <w:t>: Extended written pieces requiring synthesis of ideas.</w:t>
      </w:r>
    </w:p>
    <w:p w14:paraId="06223C22" w14:textId="41CFA0F2"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Assigned Questions</w:t>
      </w:r>
      <w:r w:rsidRPr="072A6CD3">
        <w:rPr>
          <w:rFonts w:ascii="Aptos" w:eastAsia="Aptos" w:hAnsi="Aptos" w:cs="Aptos"/>
          <w:color w:val="000000" w:themeColor="text1"/>
        </w:rPr>
        <w:t>: Independent responses to reinforce understanding.</w:t>
      </w:r>
    </w:p>
    <w:p w14:paraId="439FD32C" w14:textId="2B9E807C"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Contracts</w:t>
      </w:r>
      <w:r w:rsidRPr="072A6CD3">
        <w:rPr>
          <w:rFonts w:ascii="Aptos" w:eastAsia="Aptos" w:hAnsi="Aptos" w:cs="Aptos"/>
          <w:color w:val="000000" w:themeColor="text1"/>
        </w:rPr>
        <w:t>: Agreements between student and teacher outlining learning goals and responsibilities.</w:t>
      </w:r>
    </w:p>
    <w:p w14:paraId="0E070D6E" w14:textId="1F72304D"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Correspondence School</w:t>
      </w:r>
      <w:r w:rsidRPr="072A6CD3">
        <w:rPr>
          <w:rFonts w:ascii="Aptos" w:eastAsia="Aptos" w:hAnsi="Aptos" w:cs="Aptos"/>
          <w:color w:val="000000" w:themeColor="text1"/>
        </w:rPr>
        <w:t>: Structured remote learning, often through mailed or digital lessons.</w:t>
      </w:r>
    </w:p>
    <w:p w14:paraId="1A498358" w14:textId="2670A5D0"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Distance Education</w:t>
      </w:r>
      <w:r w:rsidRPr="072A6CD3">
        <w:rPr>
          <w:rFonts w:ascii="Aptos" w:eastAsia="Aptos" w:hAnsi="Aptos" w:cs="Aptos"/>
          <w:color w:val="000000" w:themeColor="text1"/>
        </w:rPr>
        <w:t>: Online or remote instruction with virtual interaction and assignments.</w:t>
      </w:r>
    </w:p>
    <w:p w14:paraId="1FC84CE8" w14:textId="00A5D1C6"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Brainstorming</w:t>
      </w:r>
      <w:r w:rsidRPr="072A6CD3">
        <w:rPr>
          <w:rFonts w:ascii="Aptos" w:eastAsia="Aptos" w:hAnsi="Aptos" w:cs="Aptos"/>
          <w:color w:val="000000" w:themeColor="text1"/>
        </w:rPr>
        <w:t>: Individual idea generation before group sharing or formal planning.</w:t>
      </w:r>
    </w:p>
    <w:p w14:paraId="21C53C8A" w14:textId="4553391E" w:rsidR="00910723" w:rsidRDefault="70E73221" w:rsidP="072A6CD3">
      <w:pPr>
        <w:pStyle w:val="ListParagraph"/>
        <w:numPr>
          <w:ilvl w:val="0"/>
          <w:numId w:val="1"/>
        </w:numPr>
        <w:spacing w:before="240" w:after="240"/>
        <w:rPr>
          <w:rFonts w:ascii="Aptos" w:eastAsia="Aptos" w:hAnsi="Aptos" w:cs="Aptos"/>
          <w:color w:val="000000" w:themeColor="text1"/>
        </w:rPr>
      </w:pPr>
      <w:r w:rsidRPr="072A6CD3">
        <w:rPr>
          <w:rFonts w:ascii="Aptos" w:eastAsia="Aptos" w:hAnsi="Aptos" w:cs="Aptos"/>
          <w:b/>
          <w:bCs/>
          <w:color w:val="000000" w:themeColor="text1"/>
        </w:rPr>
        <w:t>Activity Centers</w:t>
      </w:r>
      <w:r w:rsidRPr="072A6CD3">
        <w:rPr>
          <w:rFonts w:ascii="Aptos" w:eastAsia="Aptos" w:hAnsi="Aptos" w:cs="Aptos"/>
          <w:color w:val="000000" w:themeColor="text1"/>
        </w:rPr>
        <w:t>: Stations with self-guided tasks or challenges based on interest or level.</w:t>
      </w:r>
    </w:p>
    <w:p w14:paraId="2C078E63" w14:textId="0B15E31F" w:rsidR="00910723" w:rsidRDefault="00910723"/>
    <w:sectPr w:rsidR="00910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2E6"/>
    <w:multiLevelType w:val="hybridMultilevel"/>
    <w:tmpl w:val="54D4DAB6"/>
    <w:lvl w:ilvl="0" w:tplc="0FF45438">
      <w:start w:val="1"/>
      <w:numFmt w:val="bullet"/>
      <w:lvlText w:val=""/>
      <w:lvlJc w:val="left"/>
      <w:pPr>
        <w:ind w:left="720" w:hanging="360"/>
      </w:pPr>
      <w:rPr>
        <w:rFonts w:ascii="Symbol" w:hAnsi="Symbol" w:hint="default"/>
      </w:rPr>
    </w:lvl>
    <w:lvl w:ilvl="1" w:tplc="66AAEB20">
      <w:start w:val="1"/>
      <w:numFmt w:val="bullet"/>
      <w:lvlText w:val="o"/>
      <w:lvlJc w:val="left"/>
      <w:pPr>
        <w:ind w:left="1440" w:hanging="360"/>
      </w:pPr>
      <w:rPr>
        <w:rFonts w:ascii="Courier New" w:hAnsi="Courier New" w:hint="default"/>
      </w:rPr>
    </w:lvl>
    <w:lvl w:ilvl="2" w:tplc="B68EE990">
      <w:start w:val="1"/>
      <w:numFmt w:val="bullet"/>
      <w:lvlText w:val=""/>
      <w:lvlJc w:val="left"/>
      <w:pPr>
        <w:ind w:left="2160" w:hanging="360"/>
      </w:pPr>
      <w:rPr>
        <w:rFonts w:ascii="Wingdings" w:hAnsi="Wingdings" w:hint="default"/>
      </w:rPr>
    </w:lvl>
    <w:lvl w:ilvl="3" w:tplc="DEC2329C">
      <w:start w:val="1"/>
      <w:numFmt w:val="bullet"/>
      <w:lvlText w:val=""/>
      <w:lvlJc w:val="left"/>
      <w:pPr>
        <w:ind w:left="2880" w:hanging="360"/>
      </w:pPr>
      <w:rPr>
        <w:rFonts w:ascii="Symbol" w:hAnsi="Symbol" w:hint="default"/>
      </w:rPr>
    </w:lvl>
    <w:lvl w:ilvl="4" w:tplc="D988C00A">
      <w:start w:val="1"/>
      <w:numFmt w:val="bullet"/>
      <w:lvlText w:val="o"/>
      <w:lvlJc w:val="left"/>
      <w:pPr>
        <w:ind w:left="3600" w:hanging="360"/>
      </w:pPr>
      <w:rPr>
        <w:rFonts w:ascii="Courier New" w:hAnsi="Courier New" w:hint="default"/>
      </w:rPr>
    </w:lvl>
    <w:lvl w:ilvl="5" w:tplc="ECFC3920">
      <w:start w:val="1"/>
      <w:numFmt w:val="bullet"/>
      <w:lvlText w:val=""/>
      <w:lvlJc w:val="left"/>
      <w:pPr>
        <w:ind w:left="4320" w:hanging="360"/>
      </w:pPr>
      <w:rPr>
        <w:rFonts w:ascii="Wingdings" w:hAnsi="Wingdings" w:hint="default"/>
      </w:rPr>
    </w:lvl>
    <w:lvl w:ilvl="6" w:tplc="0840E5A0">
      <w:start w:val="1"/>
      <w:numFmt w:val="bullet"/>
      <w:lvlText w:val=""/>
      <w:lvlJc w:val="left"/>
      <w:pPr>
        <w:ind w:left="5040" w:hanging="360"/>
      </w:pPr>
      <w:rPr>
        <w:rFonts w:ascii="Symbol" w:hAnsi="Symbol" w:hint="default"/>
      </w:rPr>
    </w:lvl>
    <w:lvl w:ilvl="7" w:tplc="C25276D2">
      <w:start w:val="1"/>
      <w:numFmt w:val="bullet"/>
      <w:lvlText w:val="o"/>
      <w:lvlJc w:val="left"/>
      <w:pPr>
        <w:ind w:left="5760" w:hanging="360"/>
      </w:pPr>
      <w:rPr>
        <w:rFonts w:ascii="Courier New" w:hAnsi="Courier New" w:hint="default"/>
      </w:rPr>
    </w:lvl>
    <w:lvl w:ilvl="8" w:tplc="F67A5608">
      <w:start w:val="1"/>
      <w:numFmt w:val="bullet"/>
      <w:lvlText w:val=""/>
      <w:lvlJc w:val="left"/>
      <w:pPr>
        <w:ind w:left="6480" w:hanging="360"/>
      </w:pPr>
      <w:rPr>
        <w:rFonts w:ascii="Wingdings" w:hAnsi="Wingdings" w:hint="default"/>
      </w:rPr>
    </w:lvl>
  </w:abstractNum>
  <w:abstractNum w:abstractNumId="1" w15:restartNumberingAfterBreak="0">
    <w:nsid w:val="3ABE8FDE"/>
    <w:multiLevelType w:val="hybridMultilevel"/>
    <w:tmpl w:val="1D1AC44E"/>
    <w:lvl w:ilvl="0" w:tplc="72F0E9D4">
      <w:start w:val="1"/>
      <w:numFmt w:val="bullet"/>
      <w:lvlText w:val=""/>
      <w:lvlJc w:val="left"/>
      <w:pPr>
        <w:ind w:left="720" w:hanging="360"/>
      </w:pPr>
      <w:rPr>
        <w:rFonts w:ascii="Symbol" w:hAnsi="Symbol" w:hint="default"/>
      </w:rPr>
    </w:lvl>
    <w:lvl w:ilvl="1" w:tplc="0DE8D058">
      <w:start w:val="1"/>
      <w:numFmt w:val="bullet"/>
      <w:lvlText w:val="o"/>
      <w:lvlJc w:val="left"/>
      <w:pPr>
        <w:ind w:left="1440" w:hanging="360"/>
      </w:pPr>
      <w:rPr>
        <w:rFonts w:ascii="Courier New" w:hAnsi="Courier New" w:hint="default"/>
      </w:rPr>
    </w:lvl>
    <w:lvl w:ilvl="2" w:tplc="4694FB10">
      <w:start w:val="1"/>
      <w:numFmt w:val="bullet"/>
      <w:lvlText w:val=""/>
      <w:lvlJc w:val="left"/>
      <w:pPr>
        <w:ind w:left="2160" w:hanging="360"/>
      </w:pPr>
      <w:rPr>
        <w:rFonts w:ascii="Wingdings" w:hAnsi="Wingdings" w:hint="default"/>
      </w:rPr>
    </w:lvl>
    <w:lvl w:ilvl="3" w:tplc="5EECFBCE">
      <w:start w:val="1"/>
      <w:numFmt w:val="bullet"/>
      <w:lvlText w:val=""/>
      <w:lvlJc w:val="left"/>
      <w:pPr>
        <w:ind w:left="2880" w:hanging="360"/>
      </w:pPr>
      <w:rPr>
        <w:rFonts w:ascii="Symbol" w:hAnsi="Symbol" w:hint="default"/>
      </w:rPr>
    </w:lvl>
    <w:lvl w:ilvl="4" w:tplc="B8BC94FE">
      <w:start w:val="1"/>
      <w:numFmt w:val="bullet"/>
      <w:lvlText w:val="o"/>
      <w:lvlJc w:val="left"/>
      <w:pPr>
        <w:ind w:left="3600" w:hanging="360"/>
      </w:pPr>
      <w:rPr>
        <w:rFonts w:ascii="Courier New" w:hAnsi="Courier New" w:hint="default"/>
      </w:rPr>
    </w:lvl>
    <w:lvl w:ilvl="5" w:tplc="5C7EDA16">
      <w:start w:val="1"/>
      <w:numFmt w:val="bullet"/>
      <w:lvlText w:val=""/>
      <w:lvlJc w:val="left"/>
      <w:pPr>
        <w:ind w:left="4320" w:hanging="360"/>
      </w:pPr>
      <w:rPr>
        <w:rFonts w:ascii="Wingdings" w:hAnsi="Wingdings" w:hint="default"/>
      </w:rPr>
    </w:lvl>
    <w:lvl w:ilvl="6" w:tplc="1C8EDBE6">
      <w:start w:val="1"/>
      <w:numFmt w:val="bullet"/>
      <w:lvlText w:val=""/>
      <w:lvlJc w:val="left"/>
      <w:pPr>
        <w:ind w:left="5040" w:hanging="360"/>
      </w:pPr>
      <w:rPr>
        <w:rFonts w:ascii="Symbol" w:hAnsi="Symbol" w:hint="default"/>
      </w:rPr>
    </w:lvl>
    <w:lvl w:ilvl="7" w:tplc="B5785FE0">
      <w:start w:val="1"/>
      <w:numFmt w:val="bullet"/>
      <w:lvlText w:val="o"/>
      <w:lvlJc w:val="left"/>
      <w:pPr>
        <w:ind w:left="5760" w:hanging="360"/>
      </w:pPr>
      <w:rPr>
        <w:rFonts w:ascii="Courier New" w:hAnsi="Courier New" w:hint="default"/>
      </w:rPr>
    </w:lvl>
    <w:lvl w:ilvl="8" w:tplc="7020FD00">
      <w:start w:val="1"/>
      <w:numFmt w:val="bullet"/>
      <w:lvlText w:val=""/>
      <w:lvlJc w:val="left"/>
      <w:pPr>
        <w:ind w:left="6480" w:hanging="360"/>
      </w:pPr>
      <w:rPr>
        <w:rFonts w:ascii="Wingdings" w:hAnsi="Wingdings" w:hint="default"/>
      </w:rPr>
    </w:lvl>
  </w:abstractNum>
  <w:abstractNum w:abstractNumId="2" w15:restartNumberingAfterBreak="0">
    <w:nsid w:val="56639F6A"/>
    <w:multiLevelType w:val="hybridMultilevel"/>
    <w:tmpl w:val="2C5E8D4C"/>
    <w:lvl w:ilvl="0" w:tplc="494C4CA2">
      <w:start w:val="1"/>
      <w:numFmt w:val="bullet"/>
      <w:lvlText w:val=""/>
      <w:lvlJc w:val="left"/>
      <w:pPr>
        <w:ind w:left="720" w:hanging="360"/>
      </w:pPr>
      <w:rPr>
        <w:rFonts w:ascii="Symbol" w:hAnsi="Symbol" w:hint="default"/>
      </w:rPr>
    </w:lvl>
    <w:lvl w:ilvl="1" w:tplc="31A6029E">
      <w:start w:val="1"/>
      <w:numFmt w:val="bullet"/>
      <w:lvlText w:val="o"/>
      <w:lvlJc w:val="left"/>
      <w:pPr>
        <w:ind w:left="1440" w:hanging="360"/>
      </w:pPr>
      <w:rPr>
        <w:rFonts w:ascii="Courier New" w:hAnsi="Courier New" w:hint="default"/>
      </w:rPr>
    </w:lvl>
    <w:lvl w:ilvl="2" w:tplc="BD4C92F8">
      <w:start w:val="1"/>
      <w:numFmt w:val="bullet"/>
      <w:lvlText w:val=""/>
      <w:lvlJc w:val="left"/>
      <w:pPr>
        <w:ind w:left="2160" w:hanging="360"/>
      </w:pPr>
      <w:rPr>
        <w:rFonts w:ascii="Wingdings" w:hAnsi="Wingdings" w:hint="default"/>
      </w:rPr>
    </w:lvl>
    <w:lvl w:ilvl="3" w:tplc="C0FE4424">
      <w:start w:val="1"/>
      <w:numFmt w:val="bullet"/>
      <w:lvlText w:val=""/>
      <w:lvlJc w:val="left"/>
      <w:pPr>
        <w:ind w:left="2880" w:hanging="360"/>
      </w:pPr>
      <w:rPr>
        <w:rFonts w:ascii="Symbol" w:hAnsi="Symbol" w:hint="default"/>
      </w:rPr>
    </w:lvl>
    <w:lvl w:ilvl="4" w:tplc="A894CC5A">
      <w:start w:val="1"/>
      <w:numFmt w:val="bullet"/>
      <w:lvlText w:val="o"/>
      <w:lvlJc w:val="left"/>
      <w:pPr>
        <w:ind w:left="3600" w:hanging="360"/>
      </w:pPr>
      <w:rPr>
        <w:rFonts w:ascii="Courier New" w:hAnsi="Courier New" w:hint="default"/>
      </w:rPr>
    </w:lvl>
    <w:lvl w:ilvl="5" w:tplc="388221B2">
      <w:start w:val="1"/>
      <w:numFmt w:val="bullet"/>
      <w:lvlText w:val=""/>
      <w:lvlJc w:val="left"/>
      <w:pPr>
        <w:ind w:left="4320" w:hanging="360"/>
      </w:pPr>
      <w:rPr>
        <w:rFonts w:ascii="Wingdings" w:hAnsi="Wingdings" w:hint="default"/>
      </w:rPr>
    </w:lvl>
    <w:lvl w:ilvl="6" w:tplc="22AA3828">
      <w:start w:val="1"/>
      <w:numFmt w:val="bullet"/>
      <w:lvlText w:val=""/>
      <w:lvlJc w:val="left"/>
      <w:pPr>
        <w:ind w:left="5040" w:hanging="360"/>
      </w:pPr>
      <w:rPr>
        <w:rFonts w:ascii="Symbol" w:hAnsi="Symbol" w:hint="default"/>
      </w:rPr>
    </w:lvl>
    <w:lvl w:ilvl="7" w:tplc="CFA221AC">
      <w:start w:val="1"/>
      <w:numFmt w:val="bullet"/>
      <w:lvlText w:val="o"/>
      <w:lvlJc w:val="left"/>
      <w:pPr>
        <w:ind w:left="5760" w:hanging="360"/>
      </w:pPr>
      <w:rPr>
        <w:rFonts w:ascii="Courier New" w:hAnsi="Courier New" w:hint="default"/>
      </w:rPr>
    </w:lvl>
    <w:lvl w:ilvl="8" w:tplc="2CE6BC80">
      <w:start w:val="1"/>
      <w:numFmt w:val="bullet"/>
      <w:lvlText w:val=""/>
      <w:lvlJc w:val="left"/>
      <w:pPr>
        <w:ind w:left="6480" w:hanging="360"/>
      </w:pPr>
      <w:rPr>
        <w:rFonts w:ascii="Wingdings" w:hAnsi="Wingdings" w:hint="default"/>
      </w:rPr>
    </w:lvl>
  </w:abstractNum>
  <w:abstractNum w:abstractNumId="3" w15:restartNumberingAfterBreak="0">
    <w:nsid w:val="684E1712"/>
    <w:multiLevelType w:val="hybridMultilevel"/>
    <w:tmpl w:val="D4CE82E2"/>
    <w:lvl w:ilvl="0" w:tplc="AF700AD8">
      <w:start w:val="1"/>
      <w:numFmt w:val="bullet"/>
      <w:lvlText w:val=""/>
      <w:lvlJc w:val="left"/>
      <w:pPr>
        <w:ind w:left="720" w:hanging="360"/>
      </w:pPr>
      <w:rPr>
        <w:rFonts w:ascii="Symbol" w:hAnsi="Symbol" w:hint="default"/>
      </w:rPr>
    </w:lvl>
    <w:lvl w:ilvl="1" w:tplc="689490C6">
      <w:start w:val="1"/>
      <w:numFmt w:val="bullet"/>
      <w:lvlText w:val="o"/>
      <w:lvlJc w:val="left"/>
      <w:pPr>
        <w:ind w:left="1440" w:hanging="360"/>
      </w:pPr>
      <w:rPr>
        <w:rFonts w:ascii="Courier New" w:hAnsi="Courier New" w:hint="default"/>
      </w:rPr>
    </w:lvl>
    <w:lvl w:ilvl="2" w:tplc="A4DC0AD8">
      <w:start w:val="1"/>
      <w:numFmt w:val="bullet"/>
      <w:lvlText w:val=""/>
      <w:lvlJc w:val="left"/>
      <w:pPr>
        <w:ind w:left="2160" w:hanging="360"/>
      </w:pPr>
      <w:rPr>
        <w:rFonts w:ascii="Wingdings" w:hAnsi="Wingdings" w:hint="default"/>
      </w:rPr>
    </w:lvl>
    <w:lvl w:ilvl="3" w:tplc="4D3EB146">
      <w:start w:val="1"/>
      <w:numFmt w:val="bullet"/>
      <w:lvlText w:val=""/>
      <w:lvlJc w:val="left"/>
      <w:pPr>
        <w:ind w:left="2880" w:hanging="360"/>
      </w:pPr>
      <w:rPr>
        <w:rFonts w:ascii="Symbol" w:hAnsi="Symbol" w:hint="default"/>
      </w:rPr>
    </w:lvl>
    <w:lvl w:ilvl="4" w:tplc="6228F710">
      <w:start w:val="1"/>
      <w:numFmt w:val="bullet"/>
      <w:lvlText w:val="o"/>
      <w:lvlJc w:val="left"/>
      <w:pPr>
        <w:ind w:left="3600" w:hanging="360"/>
      </w:pPr>
      <w:rPr>
        <w:rFonts w:ascii="Courier New" w:hAnsi="Courier New" w:hint="default"/>
      </w:rPr>
    </w:lvl>
    <w:lvl w:ilvl="5" w:tplc="B05AD880">
      <w:start w:val="1"/>
      <w:numFmt w:val="bullet"/>
      <w:lvlText w:val=""/>
      <w:lvlJc w:val="left"/>
      <w:pPr>
        <w:ind w:left="4320" w:hanging="360"/>
      </w:pPr>
      <w:rPr>
        <w:rFonts w:ascii="Wingdings" w:hAnsi="Wingdings" w:hint="default"/>
      </w:rPr>
    </w:lvl>
    <w:lvl w:ilvl="6" w:tplc="4CA81A02">
      <w:start w:val="1"/>
      <w:numFmt w:val="bullet"/>
      <w:lvlText w:val=""/>
      <w:lvlJc w:val="left"/>
      <w:pPr>
        <w:ind w:left="5040" w:hanging="360"/>
      </w:pPr>
      <w:rPr>
        <w:rFonts w:ascii="Symbol" w:hAnsi="Symbol" w:hint="default"/>
      </w:rPr>
    </w:lvl>
    <w:lvl w:ilvl="7" w:tplc="16007C6C">
      <w:start w:val="1"/>
      <w:numFmt w:val="bullet"/>
      <w:lvlText w:val="o"/>
      <w:lvlJc w:val="left"/>
      <w:pPr>
        <w:ind w:left="5760" w:hanging="360"/>
      </w:pPr>
      <w:rPr>
        <w:rFonts w:ascii="Courier New" w:hAnsi="Courier New" w:hint="default"/>
      </w:rPr>
    </w:lvl>
    <w:lvl w:ilvl="8" w:tplc="9A5C5D06">
      <w:start w:val="1"/>
      <w:numFmt w:val="bullet"/>
      <w:lvlText w:val=""/>
      <w:lvlJc w:val="left"/>
      <w:pPr>
        <w:ind w:left="6480" w:hanging="360"/>
      </w:pPr>
      <w:rPr>
        <w:rFonts w:ascii="Wingdings" w:hAnsi="Wingdings" w:hint="default"/>
      </w:rPr>
    </w:lvl>
  </w:abstractNum>
  <w:abstractNum w:abstractNumId="4" w15:restartNumberingAfterBreak="0">
    <w:nsid w:val="72E91F93"/>
    <w:multiLevelType w:val="hybridMultilevel"/>
    <w:tmpl w:val="DB68CC88"/>
    <w:lvl w:ilvl="0" w:tplc="1C24EA1E">
      <w:start w:val="1"/>
      <w:numFmt w:val="bullet"/>
      <w:lvlText w:val=""/>
      <w:lvlJc w:val="left"/>
      <w:pPr>
        <w:ind w:left="720" w:hanging="360"/>
      </w:pPr>
      <w:rPr>
        <w:rFonts w:ascii="Symbol" w:hAnsi="Symbol" w:hint="default"/>
      </w:rPr>
    </w:lvl>
    <w:lvl w:ilvl="1" w:tplc="1C6262B8">
      <w:start w:val="1"/>
      <w:numFmt w:val="bullet"/>
      <w:lvlText w:val="o"/>
      <w:lvlJc w:val="left"/>
      <w:pPr>
        <w:ind w:left="1440" w:hanging="360"/>
      </w:pPr>
      <w:rPr>
        <w:rFonts w:ascii="Courier New" w:hAnsi="Courier New" w:hint="default"/>
      </w:rPr>
    </w:lvl>
    <w:lvl w:ilvl="2" w:tplc="B372B0E8">
      <w:start w:val="1"/>
      <w:numFmt w:val="bullet"/>
      <w:lvlText w:val=""/>
      <w:lvlJc w:val="left"/>
      <w:pPr>
        <w:ind w:left="2160" w:hanging="360"/>
      </w:pPr>
      <w:rPr>
        <w:rFonts w:ascii="Wingdings" w:hAnsi="Wingdings" w:hint="default"/>
      </w:rPr>
    </w:lvl>
    <w:lvl w:ilvl="3" w:tplc="5A4A1B60">
      <w:start w:val="1"/>
      <w:numFmt w:val="bullet"/>
      <w:lvlText w:val=""/>
      <w:lvlJc w:val="left"/>
      <w:pPr>
        <w:ind w:left="2880" w:hanging="360"/>
      </w:pPr>
      <w:rPr>
        <w:rFonts w:ascii="Symbol" w:hAnsi="Symbol" w:hint="default"/>
      </w:rPr>
    </w:lvl>
    <w:lvl w:ilvl="4" w:tplc="76BA1B1C">
      <w:start w:val="1"/>
      <w:numFmt w:val="bullet"/>
      <w:lvlText w:val="o"/>
      <w:lvlJc w:val="left"/>
      <w:pPr>
        <w:ind w:left="3600" w:hanging="360"/>
      </w:pPr>
      <w:rPr>
        <w:rFonts w:ascii="Courier New" w:hAnsi="Courier New" w:hint="default"/>
      </w:rPr>
    </w:lvl>
    <w:lvl w:ilvl="5" w:tplc="446E9F06">
      <w:start w:val="1"/>
      <w:numFmt w:val="bullet"/>
      <w:lvlText w:val=""/>
      <w:lvlJc w:val="left"/>
      <w:pPr>
        <w:ind w:left="4320" w:hanging="360"/>
      </w:pPr>
      <w:rPr>
        <w:rFonts w:ascii="Wingdings" w:hAnsi="Wingdings" w:hint="default"/>
      </w:rPr>
    </w:lvl>
    <w:lvl w:ilvl="6" w:tplc="0FA4532A">
      <w:start w:val="1"/>
      <w:numFmt w:val="bullet"/>
      <w:lvlText w:val=""/>
      <w:lvlJc w:val="left"/>
      <w:pPr>
        <w:ind w:left="5040" w:hanging="360"/>
      </w:pPr>
      <w:rPr>
        <w:rFonts w:ascii="Symbol" w:hAnsi="Symbol" w:hint="default"/>
      </w:rPr>
    </w:lvl>
    <w:lvl w:ilvl="7" w:tplc="E75679D6">
      <w:start w:val="1"/>
      <w:numFmt w:val="bullet"/>
      <w:lvlText w:val="o"/>
      <w:lvlJc w:val="left"/>
      <w:pPr>
        <w:ind w:left="5760" w:hanging="360"/>
      </w:pPr>
      <w:rPr>
        <w:rFonts w:ascii="Courier New" w:hAnsi="Courier New" w:hint="default"/>
      </w:rPr>
    </w:lvl>
    <w:lvl w:ilvl="8" w:tplc="90F6AE70">
      <w:start w:val="1"/>
      <w:numFmt w:val="bullet"/>
      <w:lvlText w:val=""/>
      <w:lvlJc w:val="left"/>
      <w:pPr>
        <w:ind w:left="6480" w:hanging="360"/>
      </w:pPr>
      <w:rPr>
        <w:rFonts w:ascii="Wingdings" w:hAnsi="Wingdings" w:hint="default"/>
      </w:rPr>
    </w:lvl>
  </w:abstractNum>
  <w:num w:numId="1" w16cid:durableId="1451820712">
    <w:abstractNumId w:val="3"/>
  </w:num>
  <w:num w:numId="2" w16cid:durableId="1741709863">
    <w:abstractNumId w:val="0"/>
  </w:num>
  <w:num w:numId="3" w16cid:durableId="337463990">
    <w:abstractNumId w:val="2"/>
  </w:num>
  <w:num w:numId="4" w16cid:durableId="700324793">
    <w:abstractNumId w:val="1"/>
  </w:num>
  <w:num w:numId="5" w16cid:durableId="111224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3C1F31"/>
    <w:rsid w:val="00316DEB"/>
    <w:rsid w:val="00320210"/>
    <w:rsid w:val="00352A97"/>
    <w:rsid w:val="008E38D4"/>
    <w:rsid w:val="00910723"/>
    <w:rsid w:val="00A63A3A"/>
    <w:rsid w:val="00B92F8B"/>
    <w:rsid w:val="00E66D46"/>
    <w:rsid w:val="072A6CD3"/>
    <w:rsid w:val="3F3C1F31"/>
    <w:rsid w:val="70E73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C1F31"/>
  <w15:chartTrackingRefBased/>
  <w15:docId w15:val="{A2F81A98-7FCD-4AAD-B049-B40608D2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72A6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1669</Words>
  <Characters>9515</Characters>
  <Application>Microsoft Office Word</Application>
  <DocSecurity>0</DocSecurity>
  <Lines>79</Lines>
  <Paragraphs>22</Paragraphs>
  <ScaleCrop>false</ScaleCrop>
  <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Chad</dc:creator>
  <cp:keywords/>
  <dc:description/>
  <cp:lastModifiedBy>Reggie Gomas</cp:lastModifiedBy>
  <cp:revision>3</cp:revision>
  <dcterms:created xsi:type="dcterms:W3CDTF">2025-04-24T21:03:00Z</dcterms:created>
  <dcterms:modified xsi:type="dcterms:W3CDTF">2025-04-24T21:03:00Z</dcterms:modified>
</cp:coreProperties>
</file>